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C3D2" w14:textId="57E1EAD4" w:rsidR="00044463" w:rsidRPr="009D01EC" w:rsidRDefault="001B1621" w:rsidP="00044463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HAnsi"/>
          <w:b/>
          <w:bCs/>
          <w:color w:val="008FAB"/>
          <w:sz w:val="40"/>
          <w:szCs w:val="36"/>
          <w:lang w:eastAsia="en-US"/>
        </w:rPr>
      </w:pPr>
      <w:r w:rsidRPr="001B1621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>DP5052TM6S21016</w:t>
      </w:r>
      <w:r w:rsidR="00044463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– </w:t>
      </w:r>
      <w:r w:rsidR="00044463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br/>
      </w:r>
      <w:r w:rsidR="00044463"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A</w:t>
      </w:r>
      <w:r w:rsidR="00044463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djustable Doc &amp; Pin</w:t>
      </w:r>
      <w:r w:rsidR="00044463"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– </w:t>
      </w:r>
      <w:r w:rsidR="00044463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Heavy-</w:t>
      </w:r>
      <w:r w:rsidR="00044463"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Duty</w:t>
      </w:r>
      <w:r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(Double Connection)</w:t>
      </w:r>
    </w:p>
    <w:p w14:paraId="0D6E1FD7" w14:textId="77777777" w:rsidR="00044463" w:rsidRPr="00EE48E7" w:rsidRDefault="00044463" w:rsidP="00044463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EE48E7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2742948C" w14:textId="3FA88FD3" w:rsidR="00044463" w:rsidRDefault="00553009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 w:rsidR="00044463"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Summary: </w:t>
      </w:r>
      <w:r w:rsidR="00044463"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br/>
      </w:r>
      <w:r w:rsidR="00044463">
        <w:rPr>
          <w:rFonts w:asciiTheme="minorHAnsi" w:eastAsiaTheme="minorHAnsi" w:hAnsiTheme="minorHAnsi" w:cstheme="minorBidi"/>
          <w:bCs/>
          <w:szCs w:val="22"/>
        </w:rPr>
        <w:t xml:space="preserve">Adjustable Doc &amp; Pin 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>– Heavy-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Duty - Taper Face Fitting</w:t>
      </w:r>
      <w:r w:rsidR="005E0FC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(</w:t>
      </w:r>
      <w:r w:rsidR="001B1621">
        <w:rPr>
          <w:rFonts w:asciiTheme="minorHAnsi" w:eastAsiaTheme="minorHAnsi" w:hAnsiTheme="minorHAnsi" w:cstheme="minorBidi"/>
          <w:bCs/>
          <w:szCs w:val="22"/>
          <w:lang w:eastAsia="en-US"/>
        </w:rPr>
        <w:t>Double</w:t>
      </w:r>
      <w:r w:rsidR="005E0FC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Connection)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: Provide Type 316</w:t>
      </w:r>
      <w:r w:rsidR="007A4A63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finished stainless steel with black gaskets</w:t>
      </w:r>
      <w:r w:rsidR="005E0FC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and ferrule bushing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able to accommodate 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>12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to 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>21.5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glass thickness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>.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Distance between glass and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centre of pin 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mounting surface is adjustable, between 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>71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and 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>83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mm. </w:t>
      </w:r>
      <w:r w:rsidR="004200B3" w:rsidRPr="00AC0ABB">
        <w:rPr>
          <w:rFonts w:asciiTheme="minorHAnsi" w:eastAsiaTheme="minorHAnsi" w:hAnsiTheme="minorHAnsi" w:cstheme="minorHAnsi"/>
          <w:bCs/>
          <w:szCs w:val="22"/>
          <w:lang w:eastAsia="en-US"/>
        </w:rPr>
        <w:t>Loading Capacity:</w:t>
      </w:r>
      <w:r w:rsidR="00AC0ABB" w:rsidRPr="00AC0ABB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</w:t>
      </w:r>
      <w:r w:rsidR="00AC0ABB" w:rsidRPr="00AC0ABB">
        <w:rPr>
          <w:rStyle w:val="s1ppyq"/>
          <w:rFonts w:asciiTheme="minorHAnsi" w:hAnsiTheme="minorHAnsi" w:cstheme="minorHAnsi"/>
          <w:color w:val="000000"/>
        </w:rPr>
        <w:t>3.5kN</w:t>
      </w:r>
      <w:r w:rsidR="00AC0ABB" w:rsidRPr="00AC0ABB">
        <w:rPr>
          <w:rStyle w:val="ql-cursor"/>
          <w:rFonts w:asciiTheme="minorHAnsi" w:hAnsiTheme="minorHAnsi" w:cstheme="minorHAnsi"/>
          <w:color w:val="000000"/>
        </w:rPr>
        <w:t>﻿</w:t>
      </w:r>
      <w:r w:rsidR="00AC0ABB" w:rsidRPr="00AC0ABB">
        <w:rPr>
          <w:rStyle w:val="s1ppyq"/>
          <w:rFonts w:asciiTheme="minorHAnsi" w:hAnsiTheme="minorHAnsi" w:cstheme="minorHAnsi"/>
          <w:color w:val="000000"/>
        </w:rPr>
        <w:t xml:space="preserve"> (per leg).</w:t>
      </w:r>
      <w:r w:rsidR="004200B3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Permitted Product: “Model </w:t>
      </w:r>
      <w:r w:rsidR="001B1621" w:rsidRPr="001B1621">
        <w:rPr>
          <w:rFonts w:asciiTheme="minorHAnsi" w:eastAsiaTheme="minorHAnsi" w:hAnsiTheme="minorHAnsi" w:cstheme="minorBidi"/>
          <w:bCs/>
          <w:szCs w:val="22"/>
          <w:lang w:eastAsia="en-US"/>
        </w:rPr>
        <w:t>DP5052TM6S21016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” by Stella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Glass Hardware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; </w:t>
      </w:r>
      <w:hyperlink r:id="rId8" w:history="1">
        <w:r w:rsidR="00044463" w:rsidRPr="0002449B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t>www.stellaglasshardware.com</w:t>
        </w:r>
      </w:hyperlink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.</w:t>
      </w:r>
    </w:p>
    <w:p w14:paraId="047FC705" w14:textId="6A4AC4B3" w:rsidR="00044463" w:rsidRDefault="00044463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1AA12121" w14:textId="21BB3DE7" w:rsidR="00553009" w:rsidRPr="00F071F1" w:rsidRDefault="00553009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35DB2C55" w14:textId="77777777" w:rsidR="00C55B78" w:rsidRPr="005E0FC7" w:rsidRDefault="00C55B78" w:rsidP="005E0FC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 xml:space="preserve">Division: </w:t>
      </w:r>
    </w:p>
    <w:p w14:paraId="344083BC" w14:textId="77777777" w:rsidR="00C55B78" w:rsidRPr="005E0FC7" w:rsidRDefault="00C55B78" w:rsidP="005E0FC7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>Found in Divisions 05 &amp; 08</w:t>
      </w:r>
    </w:p>
    <w:p w14:paraId="2A0A8862" w14:textId="77777777" w:rsidR="00C55B78" w:rsidRPr="005E0FC7" w:rsidRDefault="00C55B78" w:rsidP="007A4A63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 xml:space="preserve">Materials: </w:t>
      </w:r>
    </w:p>
    <w:p w14:paraId="711EDD35" w14:textId="77777777" w:rsidR="00C55B78" w:rsidRPr="007A4A63" w:rsidRDefault="00C55B78" w:rsidP="007A4A63">
      <w:pPr>
        <w:numPr>
          <w:ilvl w:val="1"/>
          <w:numId w:val="4"/>
        </w:numPr>
        <w:spacing w:after="0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>Steel: Grade 316 stainless steel</w:t>
      </w:r>
    </w:p>
    <w:p w14:paraId="32BD810B" w14:textId="4EE5E3B0" w:rsidR="007A4A63" w:rsidRPr="007A4A63" w:rsidRDefault="007A4A63" w:rsidP="007A4A6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Finish: No. 4, 320 grit</w:t>
      </w:r>
    </w:p>
    <w:p w14:paraId="481930A4" w14:textId="77777777" w:rsidR="00C55B78" w:rsidRPr="005E0FC7" w:rsidRDefault="00C55B78" w:rsidP="007A4A63">
      <w:pPr>
        <w:numPr>
          <w:ilvl w:val="1"/>
          <w:numId w:val="4"/>
        </w:numPr>
        <w:spacing w:after="0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>Gaskets: Material based on high-quality aramid fibers and special functional fillers bonded with NBR, sulfur-free, solvent-free</w:t>
      </w:r>
    </w:p>
    <w:p w14:paraId="096BDD1F" w14:textId="77777777" w:rsidR="00C55B78" w:rsidRPr="005E0FC7" w:rsidRDefault="00C55B78" w:rsidP="005E0FC7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>Ferrule Bushing: Acetal delrin</w:t>
      </w:r>
    </w:p>
    <w:p w14:paraId="0A0EA410" w14:textId="77777777" w:rsidR="00C55B78" w:rsidRPr="005E0FC7" w:rsidRDefault="00C55B78" w:rsidP="005E0FC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>Mount Type: Side mount</w:t>
      </w:r>
    </w:p>
    <w:p w14:paraId="6EB8BD52" w14:textId="77777777" w:rsidR="00C55B78" w:rsidRPr="005E0FC7" w:rsidRDefault="00C55B78" w:rsidP="005E0FC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 xml:space="preserve">Mounting Structure: Glass, concrete, steel or wood </w:t>
      </w:r>
    </w:p>
    <w:p w14:paraId="4043E5E1" w14:textId="77777777" w:rsidR="00C55B78" w:rsidRPr="005E0FC7" w:rsidRDefault="00C55B78" w:rsidP="005E0FC7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>Substrate thickness: 10mm to 16mm [3/8" to 5/8"]</w:t>
      </w:r>
    </w:p>
    <w:p w14:paraId="07D6C295" w14:textId="7BC6D528" w:rsidR="00C55B78" w:rsidRPr="00AC0ABB" w:rsidRDefault="00C55B78" w:rsidP="005E0FC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>Loading Capability</w:t>
      </w:r>
      <w:r w:rsidRPr="00AC0ABB">
        <w:rPr>
          <w:rFonts w:eastAsia="Times New Roman" w:cstheme="minorHAnsi"/>
          <w:color w:val="000000"/>
          <w:sz w:val="24"/>
          <w:szCs w:val="24"/>
          <w:lang w:val="en-US"/>
        </w:rPr>
        <w:t>: 3.5kN</w:t>
      </w:r>
      <w:r w:rsidR="001B1621" w:rsidRPr="00AC0ABB">
        <w:rPr>
          <w:rFonts w:eastAsia="Times New Roman" w:cstheme="minorHAnsi"/>
          <w:color w:val="000000"/>
          <w:sz w:val="24"/>
          <w:szCs w:val="24"/>
          <w:lang w:val="en-US"/>
        </w:rPr>
        <w:t xml:space="preserve"> (per leg)</w:t>
      </w:r>
    </w:p>
    <w:p w14:paraId="10F02A11" w14:textId="77777777" w:rsidR="009D01EC" w:rsidRPr="005E0FC7" w:rsidRDefault="009D01EC" w:rsidP="005E0FC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5E0FC7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LEED Standards: </w:t>
      </w:r>
    </w:p>
    <w:p w14:paraId="688A956E" w14:textId="77777777" w:rsidR="009D01EC" w:rsidRPr="005E0FC7" w:rsidRDefault="009D01EC" w:rsidP="005E0FC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5E0FC7">
        <w:rPr>
          <w:rFonts w:asciiTheme="minorHAnsi" w:eastAsiaTheme="minorHAnsi" w:hAnsiTheme="minorHAnsi" w:cstheme="minorHAnsi"/>
          <w:bCs/>
          <w:szCs w:val="22"/>
          <w:lang w:eastAsia="en-US"/>
        </w:rPr>
        <w:t>Stainless Steel (primary material) - &gt;45% pre-/95% post- consumer recycled content by weight</w:t>
      </w:r>
    </w:p>
    <w:p w14:paraId="27939333" w14:textId="77777777" w:rsidR="009D01EC" w:rsidRPr="005E0FC7" w:rsidRDefault="009D01EC" w:rsidP="005E0FC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5E0FC7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Compliances/Standard: Project specific  </w:t>
      </w:r>
    </w:p>
    <w:p w14:paraId="1A709EC3" w14:textId="7324F1D8" w:rsidR="00634759" w:rsidRPr="005E0FC7" w:rsidRDefault="009D01EC" w:rsidP="005E0FC7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ind w:right="864"/>
        <w:rPr>
          <w:rFonts w:asciiTheme="minorHAnsi" w:hAnsiTheme="minorHAnsi" w:cstheme="minorHAnsi"/>
          <w:bCs/>
          <w:sz w:val="22"/>
          <w:szCs w:val="18"/>
        </w:rPr>
      </w:pPr>
      <w:r w:rsidRPr="005E0FC7">
        <w:rPr>
          <w:rFonts w:asciiTheme="minorHAnsi" w:eastAsiaTheme="minorHAnsi" w:hAnsiTheme="minorHAnsi" w:cstheme="minorHAnsi"/>
          <w:bCs/>
          <w:szCs w:val="22"/>
          <w:lang w:eastAsia="en-US"/>
        </w:rPr>
        <w:t>Warranty:  2</w:t>
      </w:r>
      <w:r w:rsidR="00D06199" w:rsidRPr="005E0FC7">
        <w:rPr>
          <w:rFonts w:asciiTheme="minorHAnsi" w:eastAsiaTheme="minorHAnsi" w:hAnsiTheme="minorHAnsi" w:cstheme="minorHAnsi"/>
          <w:bCs/>
          <w:szCs w:val="22"/>
          <w:lang w:eastAsia="en-US"/>
        </w:rPr>
        <w:t>-</w:t>
      </w:r>
      <w:r w:rsidRPr="005E0FC7">
        <w:rPr>
          <w:rFonts w:asciiTheme="minorHAnsi" w:eastAsiaTheme="minorHAnsi" w:hAnsiTheme="minorHAnsi" w:cstheme="minorHAnsi"/>
          <w:bCs/>
          <w:szCs w:val="22"/>
          <w:lang w:eastAsia="en-US"/>
        </w:rPr>
        <w:t>year limited warranty* (can be project specific)</w:t>
      </w:r>
    </w:p>
    <w:sectPr w:rsidR="00634759" w:rsidRPr="005E0FC7" w:rsidSect="00167F73">
      <w:headerReference w:type="default" r:id="rId9"/>
      <w:footerReference w:type="default" r:id="rId10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6128D1DB">
          <wp:simplePos x="0" y="0"/>
          <wp:positionH relativeFrom="margin">
            <wp:posOffset>4447309</wp:posOffset>
          </wp:positionH>
          <wp:positionV relativeFrom="margin">
            <wp:posOffset>-660862</wp:posOffset>
          </wp:positionV>
          <wp:extent cx="1935480" cy="96774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D72"/>
    <w:multiLevelType w:val="multilevel"/>
    <w:tmpl w:val="C46E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F2E7F"/>
    <w:multiLevelType w:val="multilevel"/>
    <w:tmpl w:val="D13E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4"/>
  </w:num>
  <w:num w:numId="4" w16cid:durableId="1544094046">
    <w:abstractNumId w:val="3"/>
  </w:num>
  <w:num w:numId="5" w16cid:durableId="1961374698">
    <w:abstractNumId w:val="2"/>
  </w:num>
  <w:num w:numId="6" w16cid:durableId="1416707691">
    <w:abstractNumId w:val="5"/>
  </w:num>
  <w:num w:numId="7" w16cid:durableId="21117300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44463"/>
    <w:rsid w:val="00054A28"/>
    <w:rsid w:val="00167F73"/>
    <w:rsid w:val="001B1621"/>
    <w:rsid w:val="001E2793"/>
    <w:rsid w:val="00203EAB"/>
    <w:rsid w:val="002056F6"/>
    <w:rsid w:val="00274BDE"/>
    <w:rsid w:val="002F291A"/>
    <w:rsid w:val="003247F1"/>
    <w:rsid w:val="004200B3"/>
    <w:rsid w:val="00511C6C"/>
    <w:rsid w:val="00553009"/>
    <w:rsid w:val="005E0FC7"/>
    <w:rsid w:val="00634759"/>
    <w:rsid w:val="006A6F6B"/>
    <w:rsid w:val="006C7D2B"/>
    <w:rsid w:val="007369F7"/>
    <w:rsid w:val="00775DC3"/>
    <w:rsid w:val="007A4A63"/>
    <w:rsid w:val="007F112F"/>
    <w:rsid w:val="00856B69"/>
    <w:rsid w:val="00885C42"/>
    <w:rsid w:val="00993B75"/>
    <w:rsid w:val="009C2F18"/>
    <w:rsid w:val="009D01EC"/>
    <w:rsid w:val="00AB0131"/>
    <w:rsid w:val="00AC0ABB"/>
    <w:rsid w:val="00B41790"/>
    <w:rsid w:val="00BF3245"/>
    <w:rsid w:val="00C13DBD"/>
    <w:rsid w:val="00C55B78"/>
    <w:rsid w:val="00D06199"/>
    <w:rsid w:val="00DD7EDB"/>
    <w:rsid w:val="00DE197A"/>
    <w:rsid w:val="00F071F1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  <w:style w:type="paragraph" w:customStyle="1" w:styleId="04xlpa">
    <w:name w:val="_04xlpa"/>
    <w:basedOn w:val="Normal"/>
    <w:rsid w:val="00C5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44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63"/>
    <w:rPr>
      <w:color w:val="605E5C"/>
      <w:shd w:val="clear" w:color="auto" w:fill="E1DFDD"/>
    </w:rPr>
  </w:style>
  <w:style w:type="character" w:customStyle="1" w:styleId="ql-cursor">
    <w:name w:val="ql-cursor"/>
    <w:basedOn w:val="DefaultParagraphFont"/>
    <w:rsid w:val="00AC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llaglasshard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5</cp:revision>
  <cp:lastPrinted>2020-02-13T20:50:00Z</cp:lastPrinted>
  <dcterms:created xsi:type="dcterms:W3CDTF">2023-03-29T19:25:00Z</dcterms:created>
  <dcterms:modified xsi:type="dcterms:W3CDTF">2023-03-30T16:29:00Z</dcterms:modified>
</cp:coreProperties>
</file>